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3" w:rsidRPr="00D24E51" w:rsidRDefault="00C276C3" w:rsidP="00C276C3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>ЗАТВЕРДЖЕНО</w:t>
      </w:r>
    </w:p>
    <w:p w:rsidR="00C276C3" w:rsidRPr="00D24E51" w:rsidRDefault="00C276C3" w:rsidP="00C276C3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Рішення </w:t>
      </w:r>
      <w:proofErr w:type="spellStart"/>
      <w:r w:rsidRPr="00D24E51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D24E51">
        <w:rPr>
          <w:rFonts w:ascii="Times New Roman" w:hAnsi="Times New Roman"/>
          <w:b/>
          <w:sz w:val="28"/>
          <w:szCs w:val="28"/>
        </w:rPr>
        <w:t xml:space="preserve">  </w:t>
      </w:r>
    </w:p>
    <w:p w:rsidR="00C276C3" w:rsidRPr="00D24E51" w:rsidRDefault="00C276C3" w:rsidP="00C276C3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районної ради </w:t>
      </w:r>
    </w:p>
    <w:p w:rsidR="00C276C3" w:rsidRPr="00D24E51" w:rsidRDefault="00C276C3" w:rsidP="00C276C3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D24E51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</w:rPr>
        <w:t>20</w:t>
      </w:r>
      <w:r w:rsidRPr="00D24E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грудня</w:t>
      </w:r>
      <w:r w:rsidRPr="00D24E51">
        <w:rPr>
          <w:rFonts w:ascii="Times New Roman" w:hAnsi="Times New Roman"/>
          <w:b/>
          <w:sz w:val="28"/>
          <w:szCs w:val="28"/>
        </w:rPr>
        <w:t xml:space="preserve"> 2018 року №</w:t>
      </w:r>
      <w:r>
        <w:rPr>
          <w:rFonts w:ascii="Times New Roman" w:hAnsi="Times New Roman"/>
          <w:b/>
          <w:sz w:val="28"/>
          <w:szCs w:val="28"/>
        </w:rPr>
        <w:t xml:space="preserve"> 479</w:t>
      </w:r>
      <w:r w:rsidRPr="00D24E51">
        <w:rPr>
          <w:rFonts w:ascii="Times New Roman" w:hAnsi="Times New Roman"/>
          <w:b/>
          <w:sz w:val="28"/>
          <w:szCs w:val="28"/>
        </w:rPr>
        <w:t xml:space="preserve"> </w:t>
      </w:r>
    </w:p>
    <w:p w:rsidR="00C276C3" w:rsidRDefault="00C276C3" w:rsidP="00C276C3">
      <w:pPr>
        <w:spacing w:after="0" w:line="240" w:lineRule="auto"/>
        <w:ind w:left="4667"/>
      </w:pPr>
    </w:p>
    <w:tbl>
      <w:tblPr>
        <w:tblW w:w="10320" w:type="dxa"/>
        <w:tblInd w:w="91" w:type="dxa"/>
        <w:tblLook w:val="04A0"/>
      </w:tblPr>
      <w:tblGrid>
        <w:gridCol w:w="3015"/>
        <w:gridCol w:w="889"/>
        <w:gridCol w:w="1173"/>
        <w:gridCol w:w="1410"/>
        <w:gridCol w:w="1283"/>
        <w:gridCol w:w="727"/>
        <w:gridCol w:w="613"/>
        <w:gridCol w:w="615"/>
        <w:gridCol w:w="595"/>
      </w:tblGrid>
      <w:tr w:rsidR="00C276C3" w:rsidRPr="00C276C3" w:rsidTr="00C276C3">
        <w:trPr>
          <w:trHeight w:val="392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44" w:rsidRDefault="00680744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УТОЧНЕНИЙ</w:t>
            </w:r>
          </w:p>
          <w:p w:rsidR="00C276C3" w:rsidRPr="00C276C3" w:rsidRDefault="00C276C3" w:rsidP="00680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ФІНАНСОВИЙ ПЛАН ПІДПРИЄМСТВА </w:t>
            </w:r>
          </w:p>
        </w:tc>
      </w:tr>
      <w:tr w:rsidR="00C276C3" w:rsidRPr="00C276C3" w:rsidTr="00C276C3">
        <w:trPr>
          <w:trHeight w:val="392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НА 2018 рік</w:t>
            </w:r>
          </w:p>
        </w:tc>
      </w:tr>
      <w:tr w:rsidR="00C276C3" w:rsidRPr="00C276C3" w:rsidTr="00C276C3">
        <w:trPr>
          <w:trHeight w:val="35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276C3" w:rsidRPr="00C276C3" w:rsidTr="00C276C3">
        <w:trPr>
          <w:trHeight w:val="392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Основні фінансові показники підприємства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276C3" w:rsidRPr="00C276C3" w:rsidTr="00C276C3">
        <w:trPr>
          <w:trHeight w:val="62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Код рядка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Факт минулого року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Фінансовий план поточного року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Плановий рік (усього)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У тому числі за кварталами</w:t>
            </w:r>
          </w:p>
        </w:tc>
      </w:tr>
      <w:tr w:rsidR="00C276C3" w:rsidRPr="00C276C3" w:rsidTr="00C276C3">
        <w:trPr>
          <w:trHeight w:val="1341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III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IV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9</w:t>
            </w:r>
          </w:p>
        </w:tc>
      </w:tr>
      <w:tr w:rsidR="00C276C3" w:rsidRPr="00C276C3" w:rsidTr="00C276C3">
        <w:trPr>
          <w:trHeight w:val="392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І. Формування прибутку підприємства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922,7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Податок на додану вартість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Інші непрямі податки 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Інші вирахування з доходу 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19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922,7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</w:tr>
      <w:tr w:rsidR="00C276C3" w:rsidRPr="00C276C3" w:rsidTr="00C276C3">
        <w:trPr>
          <w:trHeight w:val="39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Попередні профілактичні огляди при прийнятті  на роботу та для отримання посвідчення водія транспортних засобів,  для отримання </w:t>
            </w:r>
            <w:proofErr w:type="spellStart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дозвола</w:t>
            </w:r>
            <w:proofErr w:type="spellEnd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на зброю, періодичні медичні огляди фізичних осіб та працівників сторонніх організацій згідно наказів та наркологічні і психіатричні медичні огляди.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811,8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Оренда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110,5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Реалізація майна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82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операційні доходи(</w:t>
            </w:r>
            <w:proofErr w:type="spellStart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uk-UA"/>
              </w:rPr>
              <w:t>субвенція+</w:t>
            </w:r>
            <w:proofErr w:type="spellEnd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uk-UA"/>
              </w:rPr>
              <w:t xml:space="preserve"> міський бюджет</w:t>
            </w: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57513,9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23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операційні доходи(</w:t>
            </w:r>
            <w:r w:rsidRPr="00C276C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кошти на відшкодування </w:t>
            </w:r>
            <w:proofErr w:type="spellStart"/>
            <w:r w:rsidRPr="00C276C3">
              <w:rPr>
                <w:rFonts w:ascii="Times New Roman" w:eastAsia="Times New Roman" w:hAnsi="Times New Roman"/>
                <w:color w:val="000000"/>
                <w:lang w:eastAsia="uk-UA"/>
              </w:rPr>
              <w:t>припаратів</w:t>
            </w:r>
            <w:proofErr w:type="spellEnd"/>
            <w:r w:rsidRPr="00C276C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хворих на цукровий діабет</w:t>
            </w: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Дохід від участі в капіталі 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фінансові доходи 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(благодійні внески,гранти та дарунки в </w:t>
            </w:r>
            <w:proofErr w:type="spellStart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т.ч.гуманітарна</w:t>
            </w:r>
            <w:proofErr w:type="spellEnd"/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допомога)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1513,7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9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доходи спеціального фонду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1463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98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доходів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61413,3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 реалізованої продукції (товарів, робіт та послуг) 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61413,3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</w:tr>
      <w:tr w:rsidR="00C276C3" w:rsidRPr="00C276C3" w:rsidTr="00C276C3">
        <w:trPr>
          <w:trHeight w:val="10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матеріальні затрати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013/1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7138,1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90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комунальні послуги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013/2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4614,5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99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013/3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46317,2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59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013/4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1539,8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68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0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1803,7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1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2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88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 від участі в капіталі</w:t>
            </w:r>
            <w:r w:rsidRPr="00C276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82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витрати (податок на землю)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94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64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витрати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61413,3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3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результати діяльності: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82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 прибуток (збиток)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09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44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0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Частка меншості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99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 прибуток (збиток),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434"/>
        </w:trPr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027/2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II. Розподіл чистого прибутку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lastRenderedPageBreak/>
              <w:t>Відрахування частини чистого прибутку до державного бюджету: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17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23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55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у тому числі на державну частку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029/1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299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proofErr w:type="spellStart"/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Довідково</w:t>
            </w:r>
            <w:proofErr w:type="spellEnd"/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х</w:t>
            </w:r>
          </w:p>
        </w:tc>
      </w:tr>
      <w:tr w:rsidR="00C276C3" w:rsidRPr="00C276C3" w:rsidTr="00C276C3">
        <w:trPr>
          <w:trHeight w:val="117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Розвиток виробництва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032/1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Резервний фонд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фонди 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цілі (розшифрувати)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17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lastRenderedPageBreak/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80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17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акцизний збір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рентні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ресурсні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податки(земельний податок 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037/7/1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17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037/7/2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161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погашення </w:t>
            </w:r>
            <w:proofErr w:type="spellStart"/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реструктуризованих</w:t>
            </w:r>
            <w:proofErr w:type="spellEnd"/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038/1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до державних цільових фондів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038/2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неустойки (штрафи, пені)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038/3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78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внески до Пенсійного фонду України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039/1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8351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039/2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lastRenderedPageBreak/>
              <w:t>Інші обов'язкові платежі, у тому числі: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місцеві податки та збори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040/1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C276C3" w:rsidRPr="00C276C3" w:rsidTr="00C276C3">
        <w:trPr>
          <w:trHeight w:val="392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інші платежі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040/2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6C3" w:rsidRPr="00C276C3" w:rsidRDefault="00C276C3" w:rsidP="00C276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C276C3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</w:tbl>
    <w:p w:rsidR="00E35F65" w:rsidRDefault="00E35F65" w:rsidP="00C276C3">
      <w:pPr>
        <w:spacing w:after="0" w:line="240" w:lineRule="auto"/>
      </w:pPr>
    </w:p>
    <w:p w:rsidR="00C276C3" w:rsidRDefault="00C276C3" w:rsidP="00C276C3">
      <w:pPr>
        <w:spacing w:after="0" w:line="240" w:lineRule="auto"/>
      </w:pPr>
    </w:p>
    <w:p w:rsidR="00C276C3" w:rsidRDefault="00C276C3" w:rsidP="00C276C3">
      <w:pPr>
        <w:spacing w:after="0" w:line="240" w:lineRule="auto"/>
      </w:pPr>
    </w:p>
    <w:p w:rsidR="00C276C3" w:rsidRPr="00C276C3" w:rsidRDefault="00C276C3" w:rsidP="00C276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6C3">
        <w:rPr>
          <w:rFonts w:ascii="Times New Roman" w:hAnsi="Times New Roman"/>
          <w:b/>
          <w:sz w:val="28"/>
          <w:szCs w:val="28"/>
        </w:rPr>
        <w:t xml:space="preserve">Керуючий справами виконавчого </w:t>
      </w:r>
    </w:p>
    <w:p w:rsidR="00C276C3" w:rsidRPr="00C276C3" w:rsidRDefault="00C276C3" w:rsidP="00C276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6C3">
        <w:rPr>
          <w:rFonts w:ascii="Times New Roman" w:hAnsi="Times New Roman"/>
          <w:b/>
          <w:sz w:val="28"/>
          <w:szCs w:val="28"/>
        </w:rPr>
        <w:t>апарату районної ради</w:t>
      </w:r>
      <w:r w:rsidRPr="00C276C3">
        <w:rPr>
          <w:rFonts w:ascii="Times New Roman" w:hAnsi="Times New Roman"/>
          <w:b/>
          <w:sz w:val="28"/>
          <w:szCs w:val="28"/>
        </w:rPr>
        <w:tab/>
      </w:r>
      <w:r w:rsidRPr="00C276C3">
        <w:rPr>
          <w:rFonts w:ascii="Times New Roman" w:hAnsi="Times New Roman"/>
          <w:b/>
          <w:sz w:val="28"/>
          <w:szCs w:val="28"/>
        </w:rPr>
        <w:tab/>
      </w:r>
      <w:r w:rsidRPr="00C276C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Т.В.</w:t>
      </w:r>
      <w:proofErr w:type="spellStart"/>
      <w:r>
        <w:rPr>
          <w:rFonts w:ascii="Times New Roman" w:hAnsi="Times New Roman"/>
          <w:b/>
          <w:sz w:val="28"/>
          <w:szCs w:val="28"/>
        </w:rPr>
        <w:t>Яблонь</w:t>
      </w:r>
      <w:proofErr w:type="spellEnd"/>
      <w:r w:rsidRPr="00C276C3">
        <w:rPr>
          <w:rFonts w:ascii="Times New Roman" w:hAnsi="Times New Roman"/>
          <w:b/>
          <w:sz w:val="28"/>
          <w:szCs w:val="28"/>
        </w:rPr>
        <w:tab/>
      </w:r>
      <w:r w:rsidRPr="00C276C3">
        <w:rPr>
          <w:rFonts w:ascii="Times New Roman" w:hAnsi="Times New Roman"/>
          <w:b/>
          <w:sz w:val="28"/>
          <w:szCs w:val="28"/>
        </w:rPr>
        <w:tab/>
      </w:r>
      <w:r w:rsidRPr="00C276C3">
        <w:rPr>
          <w:rFonts w:ascii="Times New Roman" w:hAnsi="Times New Roman"/>
          <w:b/>
          <w:sz w:val="28"/>
          <w:szCs w:val="28"/>
        </w:rPr>
        <w:tab/>
      </w:r>
    </w:p>
    <w:sectPr w:rsidR="00C276C3" w:rsidRPr="00C276C3" w:rsidSect="00C276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35F65"/>
    <w:rsid w:val="00036DBC"/>
    <w:rsid w:val="000474BF"/>
    <w:rsid w:val="000C0508"/>
    <w:rsid w:val="00212225"/>
    <w:rsid w:val="003725B9"/>
    <w:rsid w:val="00680744"/>
    <w:rsid w:val="0083720A"/>
    <w:rsid w:val="00A75640"/>
    <w:rsid w:val="00C21A41"/>
    <w:rsid w:val="00C276C3"/>
    <w:rsid w:val="00E35F65"/>
    <w:rsid w:val="00E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F65"/>
    <w:rPr>
      <w:color w:val="800080"/>
      <w:u w:val="single"/>
    </w:rPr>
  </w:style>
  <w:style w:type="paragraph" w:customStyle="1" w:styleId="font5">
    <w:name w:val="font5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font6">
    <w:name w:val="font6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font7">
    <w:name w:val="font7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lang w:eastAsia="uk-UA"/>
    </w:rPr>
  </w:style>
  <w:style w:type="paragraph" w:customStyle="1" w:styleId="font8">
    <w:name w:val="font8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uk-UA"/>
    </w:rPr>
  </w:style>
  <w:style w:type="paragraph" w:customStyle="1" w:styleId="xl65">
    <w:name w:val="xl65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6">
    <w:name w:val="xl66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7">
    <w:name w:val="xl67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8">
    <w:name w:val="xl68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9">
    <w:name w:val="xl69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0">
    <w:name w:val="xl70"/>
    <w:basedOn w:val="a"/>
    <w:rsid w:val="00E35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1">
    <w:name w:val="xl71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3">
    <w:name w:val="xl73"/>
    <w:basedOn w:val="a"/>
    <w:rsid w:val="00E35F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4">
    <w:name w:val="xl74"/>
    <w:basedOn w:val="a"/>
    <w:rsid w:val="00E35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E35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6">
    <w:name w:val="xl76"/>
    <w:basedOn w:val="a"/>
    <w:rsid w:val="00E35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7">
    <w:name w:val="xl77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E35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9">
    <w:name w:val="xl79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0">
    <w:name w:val="xl80"/>
    <w:basedOn w:val="a"/>
    <w:rsid w:val="00E35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1">
    <w:name w:val="xl81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2">
    <w:name w:val="xl82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3">
    <w:name w:val="xl83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4">
    <w:name w:val="xl84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5">
    <w:name w:val="xl85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6">
    <w:name w:val="xl86"/>
    <w:basedOn w:val="a"/>
    <w:rsid w:val="00E35F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E35F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uk-UA"/>
    </w:rPr>
  </w:style>
  <w:style w:type="paragraph" w:customStyle="1" w:styleId="xl88">
    <w:name w:val="xl88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9">
    <w:name w:val="xl89"/>
    <w:basedOn w:val="a"/>
    <w:rsid w:val="00E35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0">
    <w:name w:val="xl90"/>
    <w:basedOn w:val="a"/>
    <w:rsid w:val="00E35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1">
    <w:name w:val="xl91"/>
    <w:basedOn w:val="a"/>
    <w:rsid w:val="00E35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3">
    <w:name w:val="xl63"/>
    <w:basedOn w:val="a"/>
    <w:rsid w:val="00C276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4">
    <w:name w:val="xl64"/>
    <w:basedOn w:val="a"/>
    <w:rsid w:val="00C27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2018-12-28T10:45:00Z</cp:lastPrinted>
  <dcterms:created xsi:type="dcterms:W3CDTF">2018-12-19T10:16:00Z</dcterms:created>
  <dcterms:modified xsi:type="dcterms:W3CDTF">2018-12-28T10:57:00Z</dcterms:modified>
</cp:coreProperties>
</file>